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188F9" w14:textId="6F2DF4AB" w:rsidR="00006837" w:rsidRPr="00F743B6" w:rsidRDefault="00006837" w:rsidP="00F743B6">
      <w:pPr>
        <w:pStyle w:val="Heading1"/>
        <w:bidi/>
        <w:rPr>
          <w:rFonts w:ascii="Sakkal Majalla" w:eastAsia="Calibri" w:hAnsi="Sakkal Majalla" w:cs="Sakkal Majalla"/>
          <w:b/>
          <w:bCs/>
          <w:color w:val="000000" w:themeColor="text1"/>
          <w:u w:val="single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u w:val="single"/>
          <w:rtl/>
        </w:rPr>
        <w:t xml:space="preserve">التاريخ: </w:t>
      </w:r>
      <w:r w:rsidR="00F743B6" w:rsidRPr="00F743B6">
        <w:rPr>
          <w:rFonts w:ascii="Sakkal Majalla" w:eastAsia="Calibri" w:hAnsi="Sakkal Majalla" w:cs="Sakkal Majalla"/>
          <w:b/>
          <w:bCs/>
          <w:color w:val="000000" w:themeColor="text1"/>
          <w:u w:val="single"/>
          <w:rtl/>
        </w:rPr>
        <w:t>26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u w:val="single"/>
          <w:rtl/>
        </w:rPr>
        <w:t xml:space="preserve"> جمادى ال</w:t>
      </w:r>
      <w:r w:rsidR="008D0FAA" w:rsidRPr="00F743B6">
        <w:rPr>
          <w:rFonts w:ascii="Sakkal Majalla" w:eastAsia="Calibri" w:hAnsi="Sakkal Majalla" w:cs="Sakkal Majalla"/>
          <w:b/>
          <w:bCs/>
          <w:color w:val="000000" w:themeColor="text1"/>
          <w:u w:val="single"/>
          <w:rtl/>
        </w:rPr>
        <w:t xml:space="preserve">أخر 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u w:val="single"/>
          <w:rtl/>
        </w:rPr>
        <w:t xml:space="preserve">1447ه                 </w:t>
      </w:r>
    </w:p>
    <w:p w14:paraId="0CFB566C" w14:textId="795985C9" w:rsidR="00F95847" w:rsidRPr="00F743B6" w:rsidRDefault="00006837" w:rsidP="00F743B6">
      <w:pPr>
        <w:bidi/>
        <w:spacing w:line="256" w:lineRule="auto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الموافق: </w:t>
      </w:r>
      <w:r w:rsidR="00F743B6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17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F743B6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ديسمبر 2025م </w:t>
      </w:r>
    </w:p>
    <w:p w14:paraId="5925C140" w14:textId="5EA9BB10" w:rsidR="00F95847" w:rsidRPr="00F743B6" w:rsidRDefault="008E18BC" w:rsidP="00FA0EA2">
      <w:pPr>
        <w:bidi/>
        <w:spacing w:line="256" w:lineRule="auto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منشور</w:t>
      </w:r>
      <w:r w:rsidR="00FA0EA2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</w:rPr>
        <w:t xml:space="preserve"> </w:t>
      </w:r>
      <w:r w:rsidR="00FA0EA2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DZ"/>
        </w:rPr>
        <w:t xml:space="preserve"> الادارة العامة لتنظيم وتنمية الجهاز المصرفي </w:t>
      </w:r>
      <w:r w:rsidR="00006837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رقم (</w:t>
      </w:r>
      <w:r w:rsidR="00544CF9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7</w:t>
      </w:r>
      <w:r w:rsidR="00006837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/2025)</w:t>
      </w:r>
    </w:p>
    <w:p w14:paraId="6742ECBF" w14:textId="77777777" w:rsidR="00FA0EA2" w:rsidRPr="00F743B6" w:rsidRDefault="00FA0EA2" w:rsidP="008E18BC">
      <w:pPr>
        <w:bidi/>
        <w:spacing w:line="256" w:lineRule="auto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/>
        </w:rPr>
      </w:pPr>
    </w:p>
    <w:p w14:paraId="4BD322DB" w14:textId="43AABD30" w:rsidR="008E18BC" w:rsidRPr="00F743B6" w:rsidRDefault="00F95847" w:rsidP="00DA4684">
      <w:pPr>
        <w:bidi/>
        <w:spacing w:line="256" w:lineRule="auto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ضوابط وموجهات </w:t>
      </w:r>
      <w:r w:rsidR="00DA4684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u w:val="single"/>
          <w:rtl/>
          <w:lang w:val="en-GB"/>
        </w:rPr>
        <w:t>إ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ستئناف العمل </w:t>
      </w:r>
      <w:r w:rsidR="008E18BC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بالمنشور رقم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 </w:t>
      </w:r>
      <w:r w:rsidR="008E18BC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(2/2017)</w:t>
      </w:r>
      <w:r w:rsidR="008443AA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 ،</w:t>
      </w:r>
      <w:r w:rsidR="008E18BC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 الخاص ب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ضوابط</w:t>
      </w:r>
    </w:p>
    <w:p w14:paraId="622DFC06" w14:textId="2C5F661E" w:rsidR="00F95847" w:rsidRPr="00F743B6" w:rsidRDefault="00F95847" w:rsidP="008E18BC">
      <w:pPr>
        <w:bidi/>
        <w:spacing w:line="256" w:lineRule="auto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 وموجهات تحصيل الشيكات </w:t>
      </w:r>
      <w:r w:rsidR="008E18BC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عبر نظام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 المقاصة </w:t>
      </w:r>
      <w:r w:rsidR="008E18BC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>الإلكترونية بالعملة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u w:val="single"/>
          <w:rtl/>
          <w:lang w:val="en-GB"/>
        </w:rPr>
        <w:t xml:space="preserve"> المحلية</w:t>
      </w:r>
    </w:p>
    <w:p w14:paraId="0A680DC7" w14:textId="5A729270" w:rsidR="00554CB7" w:rsidRPr="00F743B6" w:rsidRDefault="008443AA" w:rsidP="008E18BC">
      <w:pPr>
        <w:bidi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  <w:r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 xml:space="preserve">     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عملاً بأحكام الفصل الرابع المادة 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18 (</w:t>
      </w:r>
      <w:r w:rsidR="00F9584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1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) من لائحة تنظيم أعمال المقاصة الإلكترونية لسنة 2006</w:t>
      </w:r>
      <w:r w:rsidR="008C5A2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م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، </w:t>
      </w:r>
      <w:r w:rsidR="00B112F1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وإلحاقاً للمنشور رقم (2/2017)</w:t>
      </w:r>
      <w:r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/>
        </w:rPr>
        <w:t xml:space="preserve"> ،</w:t>
      </w:r>
      <w:r w:rsidR="00B112F1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الصادر بتاريخ 20 يونيو2017م </w:t>
      </w:r>
      <w:r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/>
        </w:rPr>
        <w:t>،</w:t>
      </w:r>
      <w:r w:rsidR="00B112F1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الخاص </w:t>
      </w:r>
      <w:r w:rsidR="00E030B5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بضوابط</w:t>
      </w:r>
      <w:r w:rsidR="00B112F1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وموجهات تحصيل الشيكات عبر المقاصة</w:t>
      </w:r>
      <w:r w:rsidR="008E18B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،</w:t>
      </w:r>
      <w:r w:rsidR="008E18B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وفي </w:t>
      </w:r>
      <w:r w:rsidR="00BA6E57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إطار جهود بنك السودان المركزي ل</w:t>
      </w:r>
      <w:r w:rsidR="00BA6E57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8E18B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ستئناف تشغيل نظام المقاصة الإلكترونية بعد توقفه نتيجة للأحداث المصاحبة للحرب المندلعة منذ 15 أبريل </w:t>
      </w:r>
      <w:r w:rsidR="008E18B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2023</w:t>
      </w:r>
      <w:r w:rsidR="008E18B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م، 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يصدر بنك السودان المركزي الضوابط والموجهات الآتية:</w:t>
      </w:r>
    </w:p>
    <w:p w14:paraId="5588CFAB" w14:textId="50B6AA2E" w:rsidR="008E18BC" w:rsidRPr="00DA4684" w:rsidRDefault="00DA4684" w:rsidP="008E18BC">
      <w:pPr>
        <w:bidi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</w:pPr>
      <w:r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val="en-GB" w:bidi="ar-EG"/>
        </w:rPr>
        <w:t>إ</w:t>
      </w:r>
      <w:r w:rsidR="008E18BC" w:rsidRPr="00DA4684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سم المنشور وبد</w:t>
      </w:r>
      <w:r w:rsidR="00FF56D8" w:rsidRPr="00DA4684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 xml:space="preserve">ء </w:t>
      </w:r>
      <w:r w:rsidR="008E18BC" w:rsidRPr="00DA4684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العمل به</w:t>
      </w:r>
    </w:p>
    <w:p w14:paraId="718185F0" w14:textId="2AD57EFC" w:rsidR="00F95847" w:rsidRPr="00F743B6" w:rsidRDefault="00F95847" w:rsidP="00386715">
      <w:pPr>
        <w:pStyle w:val="ListParagraph"/>
        <w:numPr>
          <w:ilvl w:val="0"/>
          <w:numId w:val="19"/>
        </w:numPr>
        <w:bidi/>
        <w:jc w:val="medium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DZ"/>
        </w:rPr>
        <w:t xml:space="preserve">يسمي هذا المنشور </w:t>
      </w:r>
      <w:r w:rsidR="008E18B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DZ"/>
        </w:rPr>
        <w:t>"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DZ"/>
        </w:rPr>
        <w:t xml:space="preserve">منشور بنك السودان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المركزي ضوابط وموجهات 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ستئناف العمل 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بالمنشور رقم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(2/2017)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/>
        </w:rPr>
        <w:t xml:space="preserve"> ،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الخاص بضوابط وموجهات تحصيل الشيكات 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عبر نظام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المقاصة 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الإلكترونية بالعملة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المحلية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"، ويعمل به من تاريخ التوقيع عليه.</w:t>
      </w:r>
    </w:p>
    <w:p w14:paraId="54E53900" w14:textId="38F729E6" w:rsidR="00554CB7" w:rsidRPr="00F743B6" w:rsidRDefault="001B7637" w:rsidP="001B7637">
      <w:pPr>
        <w:bidi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تعديل</w:t>
      </w:r>
    </w:p>
    <w:p w14:paraId="43F48483" w14:textId="4570A87E" w:rsidR="00C4591D" w:rsidRPr="00F743B6" w:rsidRDefault="002E7516" w:rsidP="00386715">
      <w:pPr>
        <w:pStyle w:val="ListParagraph"/>
        <w:numPr>
          <w:ilvl w:val="0"/>
          <w:numId w:val="19"/>
        </w:numPr>
        <w:bidi/>
        <w:spacing w:after="150" w:line="240" w:lineRule="auto"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تعدل</w:t>
      </w:r>
      <w:r w:rsidR="00CE4EF0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 xml:space="preserve"> 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الفقرة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 xml:space="preserve"> الواردة في المنشور رقم (2/2017)، أولاً (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fa-IR"/>
        </w:rPr>
        <w:t>إ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 xml:space="preserve">جراءات وموجهات التقاص </w:t>
      </w:r>
      <w:r w:rsidR="00386715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ال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fa-IR"/>
        </w:rPr>
        <w:t>إ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 xml:space="preserve">لكتروني) البند الخامس، </w:t>
      </w:r>
      <w:r w:rsidR="00FF56D8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لت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fa-IR"/>
        </w:rPr>
        <w:t>قرأ على النحو التالي:</w:t>
      </w:r>
    </w:p>
    <w:p w14:paraId="0395CC4C" w14:textId="491AA35E" w:rsidR="006C6234" w:rsidRPr="00F743B6" w:rsidRDefault="001B7637" w:rsidP="008E18BC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"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تنحص</w:t>
      </w:r>
      <w:r w:rsidR="00EA4B4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ر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عمليات 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المقاصة</w:t>
      </w:r>
      <w:r w:rsidR="00386715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لكترونية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على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الشيكات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الصادرة</w:t>
      </w:r>
      <w:r w:rsidR="006C623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بالعملة المحلية</w:t>
      </w:r>
      <w:r w:rsidR="00FF56D8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"</w:t>
      </w:r>
    </w:p>
    <w:p w14:paraId="38ABFC4F" w14:textId="0C2DE49D" w:rsidR="001B7637" w:rsidRPr="00386715" w:rsidRDefault="001B7637" w:rsidP="001B7637">
      <w:pPr>
        <w:bidi/>
        <w:ind w:left="720"/>
        <w:contextualSpacing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lang w:val="en-GB" w:bidi="ar-EG"/>
        </w:rPr>
      </w:pPr>
      <w:r w:rsidRPr="00386715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lastRenderedPageBreak/>
        <w:t>نطاق تطبيق المنشور</w:t>
      </w:r>
    </w:p>
    <w:p w14:paraId="121C3DD7" w14:textId="7E694FEC" w:rsidR="00AD3B5C" w:rsidRPr="00F743B6" w:rsidRDefault="001B7637" w:rsidP="00386715">
      <w:pPr>
        <w:pStyle w:val="ListParagraph"/>
        <w:numPr>
          <w:ilvl w:val="0"/>
          <w:numId w:val="19"/>
        </w:numPr>
        <w:bidi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يطبق هذا المنشور على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جميع المصارف التي 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ستكملت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إجراءات توفيق أوضاعها الفنية والتقنية و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ستعادت جاهزيتها لمباشرة نشاطها المصرفي.</w:t>
      </w:r>
    </w:p>
    <w:p w14:paraId="32F69875" w14:textId="1626766C" w:rsidR="00690B92" w:rsidRPr="00F743B6" w:rsidRDefault="00E347D3" w:rsidP="001B7637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ي</w:t>
      </w:r>
      <w:r w:rsidR="00690B9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ضع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بنك السودان المركزي قواعد عمل المقاصة 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المتمثلة</w:t>
      </w:r>
      <w:r w:rsidR="00690B9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في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تحديد وإعلان مواقيت جلسات </w:t>
      </w:r>
      <w:r w:rsidR="001B7637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التقاص.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</w:p>
    <w:p w14:paraId="69C12AE6" w14:textId="58E876F4" w:rsidR="00FD4F68" w:rsidRPr="00F743B6" w:rsidRDefault="00E347D3" w:rsidP="00950044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تعمل </w:t>
      </w:r>
      <w:r w:rsidR="00690B9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المقاصة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يومي الأحد والأربعاء من كل 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أ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سبوع لحين </w:t>
      </w:r>
      <w:r w:rsidR="0038671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خطار </w:t>
      </w:r>
      <w:r w:rsidR="00950044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آ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خر.</w:t>
      </w:r>
    </w:p>
    <w:p w14:paraId="5440BD64" w14:textId="75E0661E" w:rsidR="00FD4F68" w:rsidRPr="00F743B6" w:rsidRDefault="008D0FAA" w:rsidP="001B7637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تنحصر عمليات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690B9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التقاص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E030B5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على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الشيكات بالطبعة الجديدة التي تحتوي على 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خصائص و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مواصفات </w:t>
      </w:r>
      <w:r w:rsidR="00FF56D8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موضحة في 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"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تعميم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الإدارة العامة لنظم الدفع 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بالرقم</w:t>
      </w:r>
      <w:r w:rsidR="00E21238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 xml:space="preserve"> (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1/2024 </w:t>
      </w:r>
      <w:r w:rsidR="00E21238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 xml:space="preserve">) ، 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الصادر بتاريخ 24 مارس 2024م</w:t>
      </w:r>
      <w:r w:rsidR="00445893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 xml:space="preserve"> ،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و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الخاص ب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طباعة رمز </w:t>
      </w:r>
      <w:r w:rsidR="00950044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</w:t>
      </w:r>
      <w:r w:rsidR="00950044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ستجابة</w:t>
      </w:r>
      <w:r w:rsidR="00AD3B5C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السريع على الشيكات </w:t>
      </w:r>
      <w:r w:rsidR="00002FB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المرمزة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"</w:t>
      </w:r>
      <w:r w:rsidR="00002FB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</w:p>
    <w:p w14:paraId="37D39D97" w14:textId="100D8D52" w:rsidR="00AD3B5C" w:rsidRPr="00F743B6" w:rsidRDefault="00002FBF" w:rsidP="00EB726E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لا يشمل هذا المنشور الشيكات منتهية </w:t>
      </w:r>
      <w:r w:rsidR="00CD1AE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الصلاحية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5B704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من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فترة 15 </w:t>
      </w:r>
      <w:r w:rsidR="00EB726E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أ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بريل 2023</w:t>
      </w:r>
      <w:r w:rsidR="005B704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م وحتى تاريخ التعميم المشار اليه في الفقرة (6) أعلاه.</w:t>
      </w:r>
    </w:p>
    <w:p w14:paraId="6EC3C2DE" w14:textId="67F9D8F2" w:rsidR="00AA3FD8" w:rsidRPr="00F743B6" w:rsidRDefault="0029287A" w:rsidP="00E35D4B">
      <w:pPr>
        <w:bidi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آليات</w:t>
      </w:r>
      <w:r w:rsidR="003318A3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AA3FD8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تسوية</w:t>
      </w:r>
      <w:r w:rsidR="003318A3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E35D4B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val="en-GB" w:bidi="ar-EG"/>
        </w:rPr>
        <w:t>إ</w:t>
      </w:r>
      <w:r w:rsidR="00002FBF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لتزامات</w:t>
      </w:r>
      <w:r w:rsidR="00AA3FD8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 xml:space="preserve"> المقاصة بين المصارف</w:t>
      </w:r>
    </w:p>
    <w:p w14:paraId="4544F794" w14:textId="0ACA29C3" w:rsidR="008110D8" w:rsidRPr="00F743B6" w:rsidRDefault="008110D8" w:rsidP="00002FBF">
      <w:pPr>
        <w:pStyle w:val="ListParagraph"/>
        <w:numPr>
          <w:ilvl w:val="0"/>
          <w:numId w:val="19"/>
        </w:numPr>
        <w:bidi/>
        <w:jc w:val="highKashida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تتم تسوية حسابات المصارف وفق </w:t>
      </w:r>
      <w:r w:rsidR="005B704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التراتبية التالية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:</w:t>
      </w:r>
    </w:p>
    <w:p w14:paraId="6F745426" w14:textId="56DA8B3E" w:rsidR="008110D8" w:rsidRPr="00F743B6" w:rsidRDefault="003318A3" w:rsidP="00002FBF">
      <w:pPr>
        <w:pStyle w:val="ListParagraph"/>
        <w:numPr>
          <w:ilvl w:val="0"/>
          <w:numId w:val="20"/>
        </w:numPr>
        <w:bidi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الحساب الجاري للمصرف طرف البنك المركزي</w:t>
      </w:r>
      <w:r w:rsidR="00481233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:</w:t>
      </w:r>
      <w:r w:rsidR="00481233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</w:p>
    <w:p w14:paraId="2C4348F6" w14:textId="4EC8B81F" w:rsidR="00AB5B1A" w:rsidRPr="00F743B6" w:rsidRDefault="00481233" w:rsidP="00E35D4B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على المصارف إدارة سيولتها بصورة فعالة </w:t>
      </w:r>
      <w:r w:rsidR="00E35D4B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وال</w:t>
      </w:r>
      <w:r w:rsidR="00E35D4B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لتزام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بتوفير أرصدة كافية في حسابها الرئيسي طرف بنك السودان المركزي بما يمكنها من تسيير سحوبات المقاصة، وتغذية هذا الحساب من أرصدتها طرف فروع بنك السودان المركزي بالولايات وذلك لضمان </w:t>
      </w:r>
      <w:r w:rsidR="00E35D4B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نسياب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معاملات المقاصة دون تعثر.</w:t>
      </w:r>
    </w:p>
    <w:p w14:paraId="7652417E" w14:textId="6909C75A" w:rsidR="00002FBF" w:rsidRDefault="00002FBF" w:rsidP="00002FBF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</w:p>
    <w:p w14:paraId="3731A6EE" w14:textId="06DDCD22" w:rsidR="00BB11E3" w:rsidRDefault="00BB11E3" w:rsidP="00BB11E3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</w:p>
    <w:p w14:paraId="06134E92" w14:textId="77777777" w:rsidR="00BB11E3" w:rsidRPr="00F743B6" w:rsidRDefault="00BB11E3" w:rsidP="00BB11E3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</w:p>
    <w:p w14:paraId="62717CB0" w14:textId="09FB973D" w:rsidR="008110D8" w:rsidRPr="00F743B6" w:rsidRDefault="0073403D" w:rsidP="00002FBF">
      <w:pPr>
        <w:pStyle w:val="ListParagraph"/>
        <w:numPr>
          <w:ilvl w:val="0"/>
          <w:numId w:val="20"/>
        </w:numPr>
        <w:bidi/>
        <w:jc w:val="both"/>
        <w:rPr>
          <w:rFonts w:ascii="Sakkal Majalla" w:eastAsia="Calibri" w:hAnsi="Sakkal Majalla" w:cs="Sakkal Majalla"/>
          <w:color w:val="000000" w:themeColor="text1"/>
          <w:sz w:val="32"/>
          <w:szCs w:val="32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/>
        </w:rPr>
        <w:lastRenderedPageBreak/>
        <w:t>صندوق إدارة السيولة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: </w:t>
      </w:r>
    </w:p>
    <w:p w14:paraId="0B1C9397" w14:textId="1326BD3C" w:rsidR="0073403D" w:rsidRPr="00F743B6" w:rsidRDefault="0073403D" w:rsidP="00A4674D">
      <w:pPr>
        <w:pStyle w:val="ListParagraph"/>
        <w:bidi/>
        <w:jc w:val="mediumKashida"/>
        <w:rPr>
          <w:rFonts w:ascii="Sakkal Majalla" w:eastAsia="Calibri" w:hAnsi="Sakkal Majalla" w:cs="Sakkal Majalla"/>
          <w:color w:val="000000" w:themeColor="text1"/>
          <w:sz w:val="32"/>
          <w:szCs w:val="32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على المصارف الإيفاء بمتطلبات المساهمة في صندوق إدارة السيولة ب</w:t>
      </w:r>
      <w:r w:rsidR="00EC3099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ين المصارف وذلك حتى تتمكن من ال</w:t>
      </w:r>
      <w:r w:rsidR="00EC3099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ستفادة من رصيد </w:t>
      </w:r>
      <w:r w:rsidR="00DC4E08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>الصندوق،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/>
        </w:rPr>
        <w:t xml:space="preserve"> وفقا لما ورد في المنشور (7/2014). </w:t>
      </w:r>
    </w:p>
    <w:p w14:paraId="66272B31" w14:textId="2C7775C7" w:rsidR="008110D8" w:rsidRPr="00F743B6" w:rsidRDefault="00481233" w:rsidP="00002FBF">
      <w:pPr>
        <w:pStyle w:val="ListParagraph"/>
        <w:numPr>
          <w:ilvl w:val="0"/>
          <w:numId w:val="21"/>
        </w:numPr>
        <w:bidi/>
        <w:jc w:val="both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bookmarkStart w:id="0" w:name="_Hlk216719809"/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 xml:space="preserve">سوق </w:t>
      </w:r>
      <w:bookmarkEnd w:id="0"/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ما بين المصارف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lang w:bidi="ar-EG"/>
        </w:rPr>
        <w:t>Inter Bank Lending</w:t>
      </w:r>
      <w:r w:rsidR="0029287A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lang w:bidi="ar-EG"/>
        </w:rPr>
        <w:t>)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29287A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)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val="en-GB" w:bidi="ar-EG"/>
        </w:rPr>
        <w:t>: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</w:p>
    <w:p w14:paraId="34247DAC" w14:textId="2296FD5F" w:rsidR="00945FE1" w:rsidRPr="00F743B6" w:rsidRDefault="00481233" w:rsidP="00DB7F34">
      <w:pPr>
        <w:pStyle w:val="ListParagraph"/>
        <w:bidi/>
        <w:jc w:val="medium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يشجع بنك السودان المركزي المصارف على </w:t>
      </w:r>
      <w:r w:rsidR="00EC3099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</w:t>
      </w:r>
      <w:r w:rsidR="00EC3099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ستفادة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من فوائض السيولة المتاحة لدى بعض المصارف الأخرى، وذلك عبر تفعيل وتعزيز سوق ما بين المصارف بما يشمل الدخول في </w:t>
      </w:r>
      <w:r w:rsidR="00EC3099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تفاقيات ثنائية ومتعددة الأطراف لتسهيل عمليات الاقتراض والإقراض قصير الأجل،</w:t>
      </w:r>
      <w:r w:rsidR="00DB7F34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 xml:space="preserve"> على أن يتم مد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>بنك</w:t>
      </w:r>
      <w:r w:rsidR="00002FB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 xml:space="preserve"> السودان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 xml:space="preserve"> المركزي — الإدارة العامة للعمليات المصرفية بتفاصيل تلك </w:t>
      </w:r>
      <w:r w:rsidR="00DB7F34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>ال</w:t>
      </w:r>
      <w:r w:rsidR="00DB7F34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QA"/>
        </w:rPr>
        <w:t>إ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>تفاقيات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 xml:space="preserve"> بالإضافة لتفويض بخصم مبلغ العج</w:t>
      </w:r>
      <w:r w:rsidR="004877C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>ز من حساب المصرف المعني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QA"/>
        </w:rPr>
        <w:t>.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</w:p>
    <w:p w14:paraId="553FDCAE" w14:textId="0C658264" w:rsidR="008110D8" w:rsidRPr="00F743B6" w:rsidRDefault="008110D8" w:rsidP="00002FBF">
      <w:pPr>
        <w:pStyle w:val="ListParagraph"/>
        <w:numPr>
          <w:ilvl w:val="0"/>
          <w:numId w:val="22"/>
        </w:numPr>
        <w:bidi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 xml:space="preserve">عمليات بيع وشراء </w:t>
      </w:r>
      <w:r w:rsidR="00EB4505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ال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 xml:space="preserve">نقد </w:t>
      </w:r>
      <w:r w:rsidR="00EB4505"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ال</w:t>
      </w:r>
      <w:r w:rsidR="003C7C1C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</w:rPr>
        <w:t>أ</w:t>
      </w: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جنبي:</w:t>
      </w:r>
    </w:p>
    <w:p w14:paraId="2D8EF185" w14:textId="2B7F11A4" w:rsidR="009148E8" w:rsidRPr="00F743B6" w:rsidRDefault="009148E8" w:rsidP="00DB7F34">
      <w:pPr>
        <w:pStyle w:val="ListParagraph"/>
        <w:bidi/>
        <w:jc w:val="mediumKashida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>ي</w:t>
      </w:r>
      <w:r w:rsidR="003C7C1C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</w:rPr>
        <w:t>ُ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سمح للمصارف 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>ولأغراض</w:t>
      </w:r>
      <w:r w:rsidR="00EB4505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 تسوية المقاصة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ببيع </w:t>
      </w:r>
      <w:r w:rsidR="00EB4505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>ال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نقد </w:t>
      </w:r>
      <w:r w:rsidR="00EB4505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>ال</w:t>
      </w:r>
      <w:r w:rsidR="003C7C1C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</w:rPr>
        <w:t>أ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جنبي لبنك السودان المركزي لتغطية حساباتها بالعملية المحلية </w:t>
      </w:r>
      <w:r w:rsidR="00002FB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وذلك حسب سعر </w:t>
      </w:r>
      <w:r w:rsidR="00553BC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شراء </w:t>
      </w:r>
      <w:r w:rsidR="00002FB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بنك السودان المركزي في </w:t>
      </w:r>
      <w:r w:rsidR="00FA0EA2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>تاريخ</w:t>
      </w:r>
      <w:r w:rsidR="00002FBF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</w:rPr>
        <w:t xml:space="preserve"> البيع.</w:t>
      </w:r>
    </w:p>
    <w:p w14:paraId="24E05362" w14:textId="6E08B151" w:rsidR="0029287A" w:rsidRPr="00F743B6" w:rsidRDefault="0029287A" w:rsidP="0029287A">
      <w:pPr>
        <w:pStyle w:val="ListParagraph"/>
        <w:bidi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</w:pPr>
      <w:r w:rsidRPr="00F743B6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  <w:t>أحكام عامة</w:t>
      </w:r>
    </w:p>
    <w:p w14:paraId="7EA537FC" w14:textId="666E8877" w:rsidR="008A5DFB" w:rsidRPr="00F743B6" w:rsidRDefault="008A5DFB" w:rsidP="006B7CA5">
      <w:pPr>
        <w:pStyle w:val="ListParagraph"/>
        <w:numPr>
          <w:ilvl w:val="0"/>
          <w:numId w:val="19"/>
        </w:numPr>
        <w:bidi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على المصارف </w:t>
      </w:r>
      <w:r w:rsidR="006B7CA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يلاء </w:t>
      </w:r>
      <w:r w:rsidR="006B7CA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جراءات العناية 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الواجبة في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فحص وتدقيق الشيكات وذلك لتجنب مخاطر 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التزوير.</w:t>
      </w:r>
    </w:p>
    <w:p w14:paraId="2206E0D2" w14:textId="09014FDA" w:rsidR="00AD3B5C" w:rsidRPr="00F743B6" w:rsidRDefault="00AD3B5C" w:rsidP="0029287A">
      <w:pPr>
        <w:pStyle w:val="ListParagraph"/>
        <w:numPr>
          <w:ilvl w:val="0"/>
          <w:numId w:val="19"/>
        </w:numPr>
        <w:bidi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على المصارف تقديم تقرير </w:t>
      </w:r>
      <w:r w:rsidR="00553BC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دوري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لبنك السودان المركزي معنون للإدارة </w:t>
      </w:r>
      <w:r w:rsidR="006B7CA5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العامة </w:t>
      </w:r>
      <w:r w:rsidR="006B7CA5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ل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لرقابة</w:t>
      </w:r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29287A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على</w:t>
      </w:r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البنوك بصورة </w:t>
      </w:r>
      <w:r w:rsidR="00FE415D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للإدارة</w:t>
      </w:r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العامة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لنظم الدفع يوضح سير العمل بنظام المقاصة الإلكترونية</w:t>
      </w:r>
      <w:r w:rsidR="00DC38F3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.</w:t>
      </w:r>
    </w:p>
    <w:p w14:paraId="7CEB9474" w14:textId="51429293" w:rsidR="00AD3B5C" w:rsidRPr="00F743B6" w:rsidRDefault="00AD3B5C" w:rsidP="0029287A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يقوم بنك السودان المركز</w:t>
      </w:r>
      <w:r w:rsidR="00D62F23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ي بإصدار قرارات لاحقة تتعلق بالأ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رصدة المدينة في حسابات التسليف ا</w:t>
      </w:r>
      <w:r w:rsidR="00872D7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لسابقة لتاريخ إصدار هذا المنشور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.  </w:t>
      </w:r>
    </w:p>
    <w:p w14:paraId="18120D23" w14:textId="19CBA1B1" w:rsidR="00FA0EA2" w:rsidRPr="00F743B6" w:rsidRDefault="00AD3B5C" w:rsidP="00506957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تظل الضوابط الواردة بالمنشورات الخاصة بتنظيم أعمال المقاصة الإلكترونية </w:t>
      </w:r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سارية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ويتم العمل بها ما لم تتعارض </w:t>
      </w:r>
      <w:r w:rsidR="00506957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أ</w:t>
      </w:r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و ت</w:t>
      </w:r>
      <w:r w:rsidR="000A06CB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ُ</w:t>
      </w:r>
      <w:bookmarkStart w:id="1" w:name="_GoBack"/>
      <w:bookmarkEnd w:id="1"/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لغي بموجب</w:t>
      </w:r>
      <w:r w:rsidR="00872D74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 </w:t>
      </w:r>
      <w:r w:rsidR="00506957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أ</w:t>
      </w:r>
      <w:r w:rsidR="008A5DFB"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 xml:space="preserve">حكام 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هذا المنشور.</w:t>
      </w:r>
    </w:p>
    <w:p w14:paraId="6C2AC046" w14:textId="7CF88AEE" w:rsidR="00FA0EA2" w:rsidRDefault="00FA0EA2" w:rsidP="00506957">
      <w:pPr>
        <w:numPr>
          <w:ilvl w:val="0"/>
          <w:numId w:val="19"/>
        </w:numPr>
        <w:bidi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</w:pP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lastRenderedPageBreak/>
        <w:t xml:space="preserve">سيصدر بنك السودان المركزي تنبيهات من داخل نظام المقاصة الالكترونية موضحاً قائمة المصارف غير المشاركة في جلسة المقاصة، وذلك لتمكين المصارف من </w:t>
      </w:r>
      <w:r w:rsidR="00506957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>إ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  <w:t>تخاذ القرار المناسب فيما يتعلق بتحصيل شيكات العملاء</w:t>
      </w:r>
      <w:r w:rsidRPr="00F743B6">
        <w:rPr>
          <w:rFonts w:ascii="Sakkal Majalla" w:eastAsia="Calibri" w:hAnsi="Sakkal Majalla" w:cs="Sakkal Majalla"/>
          <w:color w:val="000000" w:themeColor="text1"/>
          <w:sz w:val="32"/>
          <w:szCs w:val="32"/>
          <w:lang w:val="en-GB" w:bidi="ar-EG"/>
        </w:rPr>
        <w:t>.</w:t>
      </w:r>
      <w:r w:rsidR="00290DB0">
        <w:rPr>
          <w:rFonts w:ascii="Sakkal Majalla" w:eastAsia="Calibri" w:hAnsi="Sakkal Majalla" w:cs="Sakkal Majalla" w:hint="cs"/>
          <w:color w:val="000000" w:themeColor="text1"/>
          <w:sz w:val="32"/>
          <w:szCs w:val="32"/>
          <w:rtl/>
          <w:lang w:val="en-GB" w:bidi="ar-EG"/>
        </w:rPr>
        <w:t xml:space="preserve"> </w:t>
      </w:r>
    </w:p>
    <w:p w14:paraId="65F6CD8F" w14:textId="1CE1AED7" w:rsidR="00290DB0" w:rsidRDefault="00290DB0" w:rsidP="00290DB0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</w:p>
    <w:p w14:paraId="18FD23E8" w14:textId="42573ECB" w:rsidR="00F27485" w:rsidRDefault="00F27485" w:rsidP="00F27485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</w:p>
    <w:p w14:paraId="2810BE79" w14:textId="256801CC" w:rsidR="00F27485" w:rsidRDefault="00F27485" w:rsidP="00F27485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rtl/>
          <w:lang w:val="en-GB" w:bidi="ar-EG"/>
        </w:rPr>
      </w:pPr>
    </w:p>
    <w:p w14:paraId="5105920C" w14:textId="485B70A4" w:rsidR="00F27485" w:rsidRPr="005467A1" w:rsidRDefault="005467A1" w:rsidP="00F27485">
      <w:pPr>
        <w:shd w:val="clear" w:color="auto" w:fill="FFFFFF"/>
        <w:jc w:val="center"/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  <w:lang w:bidi="ar-EG"/>
        </w:rPr>
        <w:t xml:space="preserve">  </w:t>
      </w:r>
      <w:r w:rsidR="00F27485" w:rsidRPr="005467A1"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  <w:t xml:space="preserve">ع/ </w:t>
      </w:r>
      <w:r w:rsidR="00F27485" w:rsidRPr="005467A1"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  <w:lang w:bidi="ar-EG"/>
        </w:rPr>
        <w:t xml:space="preserve">بنك السودان المركزي </w:t>
      </w:r>
    </w:p>
    <w:p w14:paraId="5DC0A495" w14:textId="77777777" w:rsidR="00F27485" w:rsidRPr="005467A1" w:rsidRDefault="00F27485" w:rsidP="00F27485">
      <w:pPr>
        <w:shd w:val="clear" w:color="auto" w:fill="FFFFFF"/>
        <w:jc w:val="center"/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</w:pPr>
    </w:p>
    <w:p w14:paraId="4276DA3F" w14:textId="1F172041" w:rsidR="00F27485" w:rsidRPr="005467A1" w:rsidRDefault="00F27485" w:rsidP="00F27485">
      <w:pPr>
        <w:shd w:val="clear" w:color="auto" w:fill="FFFFFF"/>
        <w:jc w:val="center"/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</w:pPr>
      <w:r w:rsidRPr="005467A1">
        <w:rPr>
          <w:rFonts w:ascii="Sakkal Majalla" w:hAnsi="Sakkal Majalla" w:cs="Sakkal Majalla" w:hint="cs"/>
          <w:b/>
          <w:bCs/>
          <w:sz w:val="32"/>
          <w:szCs w:val="32"/>
          <w:rtl/>
        </w:rPr>
        <w:t>ياسر عبدالرحمن الياس</w:t>
      </w:r>
      <w:r w:rsidRPr="005467A1"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  <w:t xml:space="preserve">                  </w:t>
      </w:r>
      <w:r w:rsidRPr="005467A1"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  <w:lang w:bidi="ar-EG"/>
        </w:rPr>
        <w:t xml:space="preserve">                                     </w:t>
      </w:r>
      <w:r w:rsidRPr="005467A1"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  <w:t xml:space="preserve">      </w:t>
      </w:r>
      <w:r w:rsidRPr="005467A1"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  <w:lang w:bidi="ar-EG"/>
        </w:rPr>
        <w:t>فاطمة أحمد محمد بشير</w:t>
      </w:r>
    </w:p>
    <w:p w14:paraId="649F6EDD" w14:textId="77777777" w:rsidR="00F27485" w:rsidRPr="005467A1" w:rsidRDefault="00F27485" w:rsidP="00F27485">
      <w:pPr>
        <w:shd w:val="clear" w:color="auto" w:fill="FFFFFF"/>
        <w:jc w:val="center"/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</w:pPr>
    </w:p>
    <w:p w14:paraId="536CF52B" w14:textId="76FD147F" w:rsidR="00F27485" w:rsidRPr="005467A1" w:rsidRDefault="00F27485" w:rsidP="00F27485">
      <w:pPr>
        <w:shd w:val="clear" w:color="auto" w:fill="FFFFFF"/>
        <w:jc w:val="center"/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</w:pPr>
      <w:r w:rsidRPr="005467A1"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  <w:lang w:bidi="ar-EG"/>
        </w:rPr>
        <w:t>إدارة الشئون المصرفية</w:t>
      </w:r>
      <w:r w:rsidR="005467A1"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  <w:lang w:bidi="ar-EG"/>
        </w:rPr>
        <w:t xml:space="preserve"> </w:t>
      </w:r>
    </w:p>
    <w:p w14:paraId="16064725" w14:textId="59FEEC7D" w:rsidR="00F27485" w:rsidRPr="005467A1" w:rsidRDefault="00F27485" w:rsidP="00F27485">
      <w:pPr>
        <w:shd w:val="clear" w:color="auto" w:fill="FFFFFF"/>
        <w:jc w:val="center"/>
        <w:rPr>
          <w:rFonts w:ascii="Sakkal Majalla" w:hAnsi="Sakkal Majalla" w:cs="Sakkal Majalla"/>
          <w:b/>
          <w:bCs/>
          <w:color w:val="222222"/>
          <w:sz w:val="32"/>
          <w:szCs w:val="32"/>
          <w:lang w:bidi="ar-EG"/>
        </w:rPr>
      </w:pPr>
      <w:r w:rsidRPr="005467A1"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EG"/>
        </w:rPr>
        <w:t>الإدارة العامة لتنظيم وتنمية الجهاز المصرفي</w:t>
      </w:r>
    </w:p>
    <w:p w14:paraId="2219C0C9" w14:textId="77777777" w:rsidR="00F27485" w:rsidRPr="00F27485" w:rsidRDefault="00F27485" w:rsidP="00F27485">
      <w:pPr>
        <w:bidi/>
        <w:ind w:left="720"/>
        <w:contextualSpacing/>
        <w:jc w:val="highKashida"/>
        <w:rPr>
          <w:rFonts w:ascii="Sakkal Majalla" w:eastAsia="Calibri" w:hAnsi="Sakkal Majalla" w:cs="Sakkal Majalla"/>
          <w:color w:val="000000" w:themeColor="text1"/>
          <w:sz w:val="32"/>
          <w:szCs w:val="32"/>
          <w:lang w:bidi="ar-EG"/>
        </w:rPr>
      </w:pPr>
    </w:p>
    <w:p w14:paraId="726CD32E" w14:textId="77777777" w:rsidR="00FA0EA2" w:rsidRPr="004620D2" w:rsidRDefault="00FA0EA2" w:rsidP="00F743B6">
      <w:pPr>
        <w:bidi/>
        <w:ind w:left="720"/>
        <w:contextualSpacing/>
        <w:jc w:val="highKashida"/>
        <w:rPr>
          <w:rFonts w:ascii="Calibri" w:eastAsia="Calibri" w:hAnsi="Calibri" w:cs="Calibri"/>
          <w:color w:val="000000" w:themeColor="text1"/>
          <w:sz w:val="32"/>
          <w:szCs w:val="32"/>
          <w:lang w:val="en-GB" w:bidi="ar-EG"/>
        </w:rPr>
      </w:pPr>
    </w:p>
    <w:p w14:paraId="377620F4" w14:textId="77777777" w:rsidR="0029287A" w:rsidRPr="004620D2" w:rsidRDefault="0029287A" w:rsidP="0029287A">
      <w:pPr>
        <w:bidi/>
        <w:ind w:left="720"/>
        <w:contextualSpacing/>
        <w:jc w:val="highKashida"/>
        <w:rPr>
          <w:rFonts w:ascii="Calibri" w:eastAsia="Calibri" w:hAnsi="Calibri" w:cs="Calibri"/>
          <w:color w:val="000000" w:themeColor="text1"/>
          <w:sz w:val="32"/>
          <w:szCs w:val="32"/>
          <w:rtl/>
          <w:lang w:val="en-GB" w:bidi="ar-EG"/>
        </w:rPr>
      </w:pPr>
    </w:p>
    <w:p w14:paraId="6418F93B" w14:textId="77777777" w:rsidR="00AD3B5C" w:rsidRPr="004620D2" w:rsidRDefault="00AD3B5C" w:rsidP="008E18BC">
      <w:pPr>
        <w:bidi/>
        <w:ind w:left="720"/>
        <w:contextualSpacing/>
        <w:rPr>
          <w:rFonts w:ascii="Calibri" w:eastAsia="Calibri" w:hAnsi="Calibri" w:cs="Calibri"/>
          <w:color w:val="000000" w:themeColor="text1"/>
          <w:sz w:val="32"/>
          <w:szCs w:val="32"/>
          <w:lang w:bidi="ar-EG"/>
        </w:rPr>
      </w:pPr>
    </w:p>
    <w:sectPr w:rsidR="00AD3B5C" w:rsidRPr="004620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CDA5" w14:textId="77777777" w:rsidR="00FE5B2C" w:rsidRDefault="00FE5B2C" w:rsidP="006C7019">
      <w:pPr>
        <w:spacing w:after="0" w:line="240" w:lineRule="auto"/>
      </w:pPr>
      <w:r>
        <w:separator/>
      </w:r>
    </w:p>
  </w:endnote>
  <w:endnote w:type="continuationSeparator" w:id="0">
    <w:p w14:paraId="20893742" w14:textId="77777777" w:rsidR="00FE5B2C" w:rsidRDefault="00FE5B2C" w:rsidP="006C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092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2A79E" w14:textId="3191FB62" w:rsidR="00065796" w:rsidRDefault="000657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6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FEDDC1" w14:textId="77777777" w:rsidR="00065796" w:rsidRDefault="00065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0980" w14:textId="77777777" w:rsidR="00FE5B2C" w:rsidRDefault="00FE5B2C" w:rsidP="006C7019">
      <w:pPr>
        <w:spacing w:after="0" w:line="240" w:lineRule="auto"/>
      </w:pPr>
      <w:r>
        <w:separator/>
      </w:r>
    </w:p>
  </w:footnote>
  <w:footnote w:type="continuationSeparator" w:id="0">
    <w:p w14:paraId="707CE2F2" w14:textId="77777777" w:rsidR="00FE5B2C" w:rsidRDefault="00FE5B2C" w:rsidP="006C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pPr w:leftFromText="180" w:rightFromText="180" w:vertAnchor="text" w:horzAnchor="margin" w:tblpXSpec="center" w:tblpY="-52"/>
      <w:bidiVisual/>
      <w:tblW w:w="106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75"/>
      <w:gridCol w:w="1956"/>
      <w:gridCol w:w="4187"/>
    </w:tblGrid>
    <w:tr w:rsidR="00006837" w:rsidRPr="00D85C12" w14:paraId="7E0BCA06" w14:textId="77777777" w:rsidTr="001D31EC">
      <w:trPr>
        <w:trHeight w:val="1350"/>
      </w:trPr>
      <w:tc>
        <w:tcPr>
          <w:tcW w:w="4475" w:type="dxa"/>
          <w:tcBorders>
            <w:top w:val="nil"/>
            <w:bottom w:val="thickThinSmallGap" w:sz="12" w:space="0" w:color="auto"/>
          </w:tcBorders>
        </w:tcPr>
        <w:p w14:paraId="5B03E115" w14:textId="77777777" w:rsidR="00006837" w:rsidRPr="00D85C12" w:rsidRDefault="00006837" w:rsidP="001D31EC">
          <w:pPr>
            <w:bidi/>
            <w:spacing w:line="252" w:lineRule="auto"/>
            <w:jc w:val="center"/>
            <w:rPr>
              <w:rFonts w:eastAsiaTheme="minorEastAsia"/>
              <w:i/>
              <w:iCs/>
            </w:rPr>
          </w:pPr>
          <w:bookmarkStart w:id="2" w:name="_Hlk130883093"/>
          <w:bookmarkStart w:id="3" w:name="_Hlk130883213"/>
        </w:p>
        <w:p w14:paraId="3EDED6FE" w14:textId="77777777" w:rsidR="00006837" w:rsidRPr="00D85C12" w:rsidRDefault="00006837" w:rsidP="001D31EC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  <w:r w:rsidRPr="00D85C12">
            <w:rPr>
              <w:rFonts w:eastAsiaTheme="minorEastAsia"/>
              <w:i/>
              <w:iCs/>
              <w:noProof/>
            </w:rPr>
            <w:drawing>
              <wp:inline distT="0" distB="0" distL="0" distR="0" wp14:anchorId="65FAD4E5" wp14:editId="62C65218">
                <wp:extent cx="2600325" cy="361950"/>
                <wp:effectExtent l="0" t="0" r="9525" b="0"/>
                <wp:docPr id="23" name="Picture 2" descr="محسنةازر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محسنةازر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EAAB7D" w14:textId="77777777" w:rsidR="00006837" w:rsidRPr="00D85C12" w:rsidRDefault="00006837" w:rsidP="001D31EC">
          <w:pPr>
            <w:bidi/>
            <w:spacing w:line="252" w:lineRule="auto"/>
            <w:jc w:val="center"/>
            <w:rPr>
              <w:rFonts w:ascii="Sakkal Majalla" w:eastAsiaTheme="minorEastAsia" w:hAnsi="Sakkal Majalla" w:cs="Sakkal Majalla"/>
              <w:b/>
              <w:bCs/>
              <w:i/>
              <w:iCs/>
              <w:sz w:val="26"/>
              <w:szCs w:val="26"/>
              <w:rtl/>
            </w:rPr>
          </w:pPr>
          <w:r w:rsidRPr="00D85C12">
            <w:rPr>
              <w:rFonts w:ascii="Sakkal Majalla" w:eastAsiaTheme="minorEastAsia" w:hAnsi="Sakkal Majalla" w:cs="Sakkal Majalla"/>
              <w:b/>
              <w:bCs/>
              <w:i/>
              <w:iCs/>
              <w:sz w:val="26"/>
              <w:szCs w:val="26"/>
              <w:rtl/>
            </w:rPr>
            <w:t>الإدارة العامة لتنظيم وتنمية الجهاز المصرفي</w:t>
          </w:r>
        </w:p>
      </w:tc>
      <w:tc>
        <w:tcPr>
          <w:tcW w:w="1956" w:type="dxa"/>
          <w:tcBorders>
            <w:top w:val="nil"/>
            <w:bottom w:val="nil"/>
          </w:tcBorders>
        </w:tcPr>
        <w:p w14:paraId="16C18C64" w14:textId="77777777" w:rsidR="00006837" w:rsidRPr="00D85C12" w:rsidRDefault="00006837" w:rsidP="001D31EC">
          <w:pPr>
            <w:bidi/>
            <w:spacing w:line="252" w:lineRule="auto"/>
            <w:rPr>
              <w:rFonts w:eastAsiaTheme="minorEastAsia"/>
              <w:i/>
              <w:iCs/>
            </w:rPr>
          </w:pPr>
          <w:r w:rsidRPr="00D85C12">
            <w:rPr>
              <w:rFonts w:eastAsiaTheme="minorEastAsia"/>
              <w:i/>
              <w:iCs/>
              <w:noProof/>
            </w:rPr>
            <w:drawing>
              <wp:inline distT="0" distB="0" distL="0" distR="0" wp14:anchorId="6D485B0D" wp14:editId="0BD9F6FD">
                <wp:extent cx="962025" cy="895350"/>
                <wp:effectExtent l="0" t="0" r="0" b="0"/>
                <wp:docPr id="24" name="Picture 1" descr="Bank of Sud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k of Sud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7" w:type="dxa"/>
          <w:tcBorders>
            <w:top w:val="nil"/>
            <w:bottom w:val="thickThinSmallGap" w:sz="12" w:space="0" w:color="auto"/>
          </w:tcBorders>
        </w:tcPr>
        <w:p w14:paraId="1A3391BA" w14:textId="77777777" w:rsidR="00006837" w:rsidRPr="00D85C12" w:rsidRDefault="00006837" w:rsidP="001D31EC">
          <w:pPr>
            <w:bidi/>
            <w:spacing w:line="252" w:lineRule="auto"/>
            <w:rPr>
              <w:rFonts w:eastAsiaTheme="minorEastAsia"/>
              <w:i/>
              <w:iCs/>
              <w:rtl/>
            </w:rPr>
          </w:pPr>
        </w:p>
        <w:p w14:paraId="476A454A" w14:textId="77777777" w:rsidR="00006837" w:rsidRPr="00D85C12" w:rsidRDefault="00006837" w:rsidP="001D31EC">
          <w:pPr>
            <w:keepNext/>
            <w:tabs>
              <w:tab w:val="left" w:pos="720"/>
              <w:tab w:val="left" w:pos="5478"/>
            </w:tabs>
            <w:bidi/>
            <w:spacing w:line="252" w:lineRule="auto"/>
            <w:jc w:val="center"/>
            <w:outlineLvl w:val="1"/>
            <w:rPr>
              <w:rFonts w:eastAsiaTheme="minorEastAsia"/>
              <w:b/>
              <w:bCs/>
              <w:i/>
              <w:iCs/>
              <w:color w:val="244061" w:themeColor="accent1" w:themeShade="80"/>
              <w:sz w:val="30"/>
              <w:szCs w:val="30"/>
              <w:rtl/>
            </w:rPr>
          </w:pPr>
          <w:bookmarkStart w:id="4" w:name="_Hlk168478253"/>
          <w:r w:rsidRPr="00D85C12">
            <w:rPr>
              <w:rFonts w:eastAsiaTheme="minorEastAsia"/>
              <w:b/>
              <w:bCs/>
              <w:i/>
              <w:iCs/>
              <w:color w:val="244061" w:themeColor="accent1" w:themeShade="80"/>
              <w:sz w:val="30"/>
              <w:szCs w:val="30"/>
            </w:rPr>
            <w:t>CENTRAL BANK Of SUDAN</w:t>
          </w:r>
        </w:p>
        <w:bookmarkEnd w:id="4"/>
        <w:p w14:paraId="52F114FA" w14:textId="77777777" w:rsidR="00006837" w:rsidRPr="00D85C12" w:rsidRDefault="00006837" w:rsidP="001D31EC">
          <w:pPr>
            <w:bidi/>
            <w:spacing w:line="252" w:lineRule="auto"/>
            <w:jc w:val="center"/>
            <w:rPr>
              <w:rFonts w:eastAsiaTheme="minorEastAsia"/>
              <w:i/>
              <w:iCs/>
              <w:sz w:val="18"/>
              <w:szCs w:val="18"/>
            </w:rPr>
          </w:pPr>
        </w:p>
        <w:p w14:paraId="05BEA6A5" w14:textId="77777777" w:rsidR="00006837" w:rsidRPr="00D85C12" w:rsidRDefault="00006837" w:rsidP="001D31EC">
          <w:pPr>
            <w:bidi/>
            <w:spacing w:line="252" w:lineRule="auto"/>
            <w:jc w:val="right"/>
            <w:rPr>
              <w:rFonts w:eastAsiaTheme="minorEastAsia"/>
              <w:b/>
              <w:bCs/>
              <w:i/>
              <w:iCs/>
            </w:rPr>
          </w:pPr>
          <w:r w:rsidRPr="00D85C12">
            <w:rPr>
              <w:rFonts w:eastAsiaTheme="minorEastAsia"/>
              <w:b/>
              <w:bCs/>
              <w:i/>
              <w:iCs/>
              <w:sz w:val="16"/>
              <w:szCs w:val="16"/>
            </w:rPr>
            <w:t>B</w:t>
          </w:r>
          <w:r w:rsidRPr="00D85C12">
            <w:rPr>
              <w:rFonts w:eastAsiaTheme="minorEastAsia"/>
              <w:b/>
              <w:bCs/>
              <w:i/>
              <w:iCs/>
              <w:sz w:val="18"/>
              <w:szCs w:val="18"/>
            </w:rPr>
            <w:t>anking Regulation &amp; Development Department</w:t>
          </w:r>
        </w:p>
      </w:tc>
    </w:tr>
    <w:bookmarkEnd w:id="2"/>
    <w:bookmarkEnd w:id="3"/>
  </w:tbl>
  <w:p w14:paraId="25525054" w14:textId="77777777" w:rsidR="006C7019" w:rsidRDefault="006C7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441"/>
    <w:multiLevelType w:val="hybridMultilevel"/>
    <w:tmpl w:val="256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2E97"/>
    <w:multiLevelType w:val="hybridMultilevel"/>
    <w:tmpl w:val="E8CC9A84"/>
    <w:lvl w:ilvl="0" w:tplc="F37470D4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E49DA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 w15:restartNumberingAfterBreak="0">
    <w:nsid w:val="22C17CF0"/>
    <w:multiLevelType w:val="hybridMultilevel"/>
    <w:tmpl w:val="BF664B00"/>
    <w:lvl w:ilvl="0" w:tplc="95E4E46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8E5267A"/>
    <w:multiLevelType w:val="hybridMultilevel"/>
    <w:tmpl w:val="255EFF82"/>
    <w:lvl w:ilvl="0" w:tplc="FBC20A32">
      <w:start w:val="1"/>
      <w:numFmt w:val="arabicAbjad"/>
      <w:lvlText w:val="%1."/>
      <w:lvlJc w:val="left"/>
      <w:pPr>
        <w:ind w:left="1440" w:hanging="360"/>
      </w:pPr>
      <w:rPr>
        <w:rFonts w:ascii="Sakkal Majalla" w:eastAsia="Aptos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5B34E2"/>
    <w:multiLevelType w:val="hybridMultilevel"/>
    <w:tmpl w:val="A3D009A0"/>
    <w:lvl w:ilvl="0" w:tplc="4DECD89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F66"/>
    <w:multiLevelType w:val="hybridMultilevel"/>
    <w:tmpl w:val="FEE2D49E"/>
    <w:lvl w:ilvl="0" w:tplc="FBC20A32">
      <w:start w:val="1"/>
      <w:numFmt w:val="arabicAbjad"/>
      <w:lvlText w:val="%1."/>
      <w:lvlJc w:val="left"/>
      <w:pPr>
        <w:ind w:left="720" w:hanging="360"/>
      </w:pPr>
      <w:rPr>
        <w:rFonts w:ascii="Sakkal Majalla" w:eastAsia="Aptos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6385"/>
    <w:multiLevelType w:val="hybridMultilevel"/>
    <w:tmpl w:val="6278256A"/>
    <w:lvl w:ilvl="0" w:tplc="FBC20A32">
      <w:start w:val="1"/>
      <w:numFmt w:val="arabicAbjad"/>
      <w:lvlText w:val="%1."/>
      <w:lvlJc w:val="left"/>
      <w:pPr>
        <w:ind w:left="1080" w:hanging="360"/>
      </w:pPr>
      <w:rPr>
        <w:rFonts w:ascii="Sakkal Majalla" w:eastAsia="Aptos" w:hAnsi="Sakkal Majalla" w:cs="Sakkal Majall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1B2EA6"/>
    <w:multiLevelType w:val="hybridMultilevel"/>
    <w:tmpl w:val="81BC6C8E"/>
    <w:lvl w:ilvl="0" w:tplc="397CBB0E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E3C6F"/>
    <w:multiLevelType w:val="hybridMultilevel"/>
    <w:tmpl w:val="3E548092"/>
    <w:lvl w:ilvl="0" w:tplc="D3E8198C">
      <w:start w:val="5"/>
      <w:numFmt w:val="arabicAlpha"/>
      <w:lvlText w:val="%1."/>
      <w:lvlJc w:val="left"/>
      <w:pPr>
        <w:ind w:left="1080" w:hanging="360"/>
      </w:pPr>
      <w:rPr>
        <w:rFonts w:hint="default"/>
        <w:b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30272"/>
    <w:multiLevelType w:val="hybridMultilevel"/>
    <w:tmpl w:val="27B0F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6598"/>
    <w:multiLevelType w:val="hybridMultilevel"/>
    <w:tmpl w:val="6D84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32E5C"/>
    <w:multiLevelType w:val="hybridMultilevel"/>
    <w:tmpl w:val="48240962"/>
    <w:lvl w:ilvl="0" w:tplc="46CA27C8">
      <w:start w:val="1"/>
      <w:numFmt w:val="decimal"/>
      <w:lvlText w:val="%1."/>
      <w:lvlJc w:val="left"/>
      <w:pPr>
        <w:ind w:left="72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B33A6"/>
    <w:multiLevelType w:val="hybridMultilevel"/>
    <w:tmpl w:val="66AAFE10"/>
    <w:lvl w:ilvl="0" w:tplc="CA9AEF6A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9461D"/>
    <w:multiLevelType w:val="hybridMultilevel"/>
    <w:tmpl w:val="8294DD26"/>
    <w:lvl w:ilvl="0" w:tplc="6B08B1CC">
      <w:start w:val="10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22C85"/>
    <w:multiLevelType w:val="hybridMultilevel"/>
    <w:tmpl w:val="5942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01F7C"/>
    <w:multiLevelType w:val="multilevel"/>
    <w:tmpl w:val="FF0861F0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decimal"/>
      <w:lvlText w:val="%1.%2."/>
      <w:lvlJc w:val="left"/>
      <w:pPr>
        <w:ind w:left="2592" w:hanging="432"/>
      </w:pPr>
    </w:lvl>
    <w:lvl w:ilvl="2">
      <w:start w:val="1"/>
      <w:numFmt w:val="decimal"/>
      <w:lvlText w:val="%1.%2.%3."/>
      <w:lvlJc w:val="left"/>
      <w:pPr>
        <w:ind w:left="3024" w:hanging="504"/>
      </w:pPr>
    </w:lvl>
    <w:lvl w:ilvl="3">
      <w:start w:val="1"/>
      <w:numFmt w:val="decimal"/>
      <w:lvlText w:val="%1.%2.%3.%4."/>
      <w:lvlJc w:val="left"/>
      <w:pPr>
        <w:ind w:left="3528" w:hanging="648"/>
      </w:pPr>
    </w:lvl>
    <w:lvl w:ilvl="4">
      <w:start w:val="1"/>
      <w:numFmt w:val="decimal"/>
      <w:lvlText w:val="%1.%2.%3.%4.%5."/>
      <w:lvlJc w:val="left"/>
      <w:pPr>
        <w:ind w:left="4032" w:hanging="792"/>
      </w:pPr>
    </w:lvl>
    <w:lvl w:ilvl="5">
      <w:start w:val="1"/>
      <w:numFmt w:val="decimal"/>
      <w:lvlText w:val="%1.%2.%3.%4.%5.%6."/>
      <w:lvlJc w:val="left"/>
      <w:pPr>
        <w:ind w:left="4536" w:hanging="936"/>
      </w:pPr>
    </w:lvl>
    <w:lvl w:ilvl="6">
      <w:start w:val="1"/>
      <w:numFmt w:val="decimal"/>
      <w:lvlText w:val="%1.%2.%3.%4.%5.%6.%7."/>
      <w:lvlJc w:val="left"/>
      <w:pPr>
        <w:ind w:left="5040" w:hanging="1080"/>
      </w:pPr>
    </w:lvl>
    <w:lvl w:ilvl="7">
      <w:start w:val="1"/>
      <w:numFmt w:val="decimal"/>
      <w:lvlText w:val="%1.%2.%3.%4.%5.%6.%7.%8."/>
      <w:lvlJc w:val="left"/>
      <w:pPr>
        <w:ind w:left="5544" w:hanging="1224"/>
      </w:pPr>
    </w:lvl>
    <w:lvl w:ilvl="8">
      <w:start w:val="1"/>
      <w:numFmt w:val="decimal"/>
      <w:lvlText w:val="%1.%2.%3.%4.%5.%6.%7.%8.%9."/>
      <w:lvlJc w:val="left"/>
      <w:pPr>
        <w:ind w:left="6120" w:hanging="1440"/>
      </w:pPr>
    </w:lvl>
  </w:abstractNum>
  <w:abstractNum w:abstractNumId="17" w15:restartNumberingAfterBreak="0">
    <w:nsid w:val="647F2692"/>
    <w:multiLevelType w:val="hybridMultilevel"/>
    <w:tmpl w:val="9B848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B2DE8"/>
    <w:multiLevelType w:val="hybridMultilevel"/>
    <w:tmpl w:val="0F048EFA"/>
    <w:lvl w:ilvl="0" w:tplc="4DECD89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53ADF"/>
    <w:multiLevelType w:val="hybridMultilevel"/>
    <w:tmpl w:val="275C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214E2"/>
    <w:multiLevelType w:val="hybridMultilevel"/>
    <w:tmpl w:val="F0AE03B6"/>
    <w:lvl w:ilvl="0" w:tplc="106C6B68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41D0C"/>
    <w:multiLevelType w:val="hybridMultilevel"/>
    <w:tmpl w:val="50CE7FBE"/>
    <w:lvl w:ilvl="0" w:tplc="479EF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8155F"/>
    <w:multiLevelType w:val="hybridMultilevel"/>
    <w:tmpl w:val="6D56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0"/>
  </w:num>
  <w:num w:numId="5">
    <w:abstractNumId w:val="17"/>
  </w:num>
  <w:num w:numId="6">
    <w:abstractNumId w:val="10"/>
  </w:num>
  <w:num w:numId="7">
    <w:abstractNumId w:val="19"/>
  </w:num>
  <w:num w:numId="8">
    <w:abstractNumId w:val="11"/>
  </w:num>
  <w:num w:numId="9">
    <w:abstractNumId w:val="5"/>
  </w:num>
  <w:num w:numId="10">
    <w:abstractNumId w:val="3"/>
  </w:num>
  <w:num w:numId="11">
    <w:abstractNumId w:val="20"/>
  </w:num>
  <w:num w:numId="12">
    <w:abstractNumId w:val="13"/>
  </w:num>
  <w:num w:numId="13">
    <w:abstractNumId w:val="21"/>
  </w:num>
  <w:num w:numId="14">
    <w:abstractNumId w:val="7"/>
  </w:num>
  <w:num w:numId="15">
    <w:abstractNumId w:val="6"/>
  </w:num>
  <w:num w:numId="16">
    <w:abstractNumId w:val="4"/>
  </w:num>
  <w:num w:numId="17">
    <w:abstractNumId w:val="2"/>
  </w:num>
  <w:num w:numId="18">
    <w:abstractNumId w:val="16"/>
  </w:num>
  <w:num w:numId="19">
    <w:abstractNumId w:val="22"/>
  </w:num>
  <w:num w:numId="20">
    <w:abstractNumId w:val="1"/>
  </w:num>
  <w:num w:numId="21">
    <w:abstractNumId w:val="9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19"/>
    <w:rsid w:val="00002FBF"/>
    <w:rsid w:val="00006837"/>
    <w:rsid w:val="0004536B"/>
    <w:rsid w:val="00065796"/>
    <w:rsid w:val="00067265"/>
    <w:rsid w:val="00076FAC"/>
    <w:rsid w:val="000A06CB"/>
    <w:rsid w:val="000C69D3"/>
    <w:rsid w:val="00117A5A"/>
    <w:rsid w:val="001B7637"/>
    <w:rsid w:val="001E7C1D"/>
    <w:rsid w:val="001F05B6"/>
    <w:rsid w:val="001F6219"/>
    <w:rsid w:val="00217909"/>
    <w:rsid w:val="00290DB0"/>
    <w:rsid w:val="0029287A"/>
    <w:rsid w:val="00297AF2"/>
    <w:rsid w:val="002C0FD9"/>
    <w:rsid w:val="002E4402"/>
    <w:rsid w:val="002E7516"/>
    <w:rsid w:val="00303511"/>
    <w:rsid w:val="00313D13"/>
    <w:rsid w:val="00314189"/>
    <w:rsid w:val="0031703F"/>
    <w:rsid w:val="003318A3"/>
    <w:rsid w:val="0036548D"/>
    <w:rsid w:val="00372800"/>
    <w:rsid w:val="00384F7D"/>
    <w:rsid w:val="00386715"/>
    <w:rsid w:val="0039712E"/>
    <w:rsid w:val="003C7C1C"/>
    <w:rsid w:val="00445893"/>
    <w:rsid w:val="004620D2"/>
    <w:rsid w:val="00481233"/>
    <w:rsid w:val="00482BB3"/>
    <w:rsid w:val="004877C4"/>
    <w:rsid w:val="00506957"/>
    <w:rsid w:val="00544CF9"/>
    <w:rsid w:val="005467A1"/>
    <w:rsid w:val="00553BCA"/>
    <w:rsid w:val="00554CB7"/>
    <w:rsid w:val="00567383"/>
    <w:rsid w:val="00573D18"/>
    <w:rsid w:val="0058337E"/>
    <w:rsid w:val="005A29F8"/>
    <w:rsid w:val="005B704F"/>
    <w:rsid w:val="005F3FCB"/>
    <w:rsid w:val="00690B92"/>
    <w:rsid w:val="006B7CA5"/>
    <w:rsid w:val="006C6234"/>
    <w:rsid w:val="006C6D92"/>
    <w:rsid w:val="006C7019"/>
    <w:rsid w:val="006F6E89"/>
    <w:rsid w:val="007021CD"/>
    <w:rsid w:val="0073403D"/>
    <w:rsid w:val="00740A59"/>
    <w:rsid w:val="00742219"/>
    <w:rsid w:val="007946C9"/>
    <w:rsid w:val="007D0AB7"/>
    <w:rsid w:val="007F3236"/>
    <w:rsid w:val="00804EE2"/>
    <w:rsid w:val="008110D8"/>
    <w:rsid w:val="008154FB"/>
    <w:rsid w:val="00823D0D"/>
    <w:rsid w:val="008443AA"/>
    <w:rsid w:val="0087259B"/>
    <w:rsid w:val="00872D74"/>
    <w:rsid w:val="00872E0D"/>
    <w:rsid w:val="008A5DFB"/>
    <w:rsid w:val="008A7E39"/>
    <w:rsid w:val="008B717D"/>
    <w:rsid w:val="008C5A2B"/>
    <w:rsid w:val="008D0FAA"/>
    <w:rsid w:val="008D30CC"/>
    <w:rsid w:val="008E0FC0"/>
    <w:rsid w:val="008E18BC"/>
    <w:rsid w:val="00913995"/>
    <w:rsid w:val="009148E8"/>
    <w:rsid w:val="00945FE1"/>
    <w:rsid w:val="00950044"/>
    <w:rsid w:val="00996257"/>
    <w:rsid w:val="009A7789"/>
    <w:rsid w:val="009E647C"/>
    <w:rsid w:val="00A00D80"/>
    <w:rsid w:val="00A02E27"/>
    <w:rsid w:val="00A15DE8"/>
    <w:rsid w:val="00A4674D"/>
    <w:rsid w:val="00A60658"/>
    <w:rsid w:val="00AA3FD8"/>
    <w:rsid w:val="00AB5B1A"/>
    <w:rsid w:val="00AC5C02"/>
    <w:rsid w:val="00AD3B5C"/>
    <w:rsid w:val="00B04C10"/>
    <w:rsid w:val="00B112F1"/>
    <w:rsid w:val="00BA6AF0"/>
    <w:rsid w:val="00BA6E57"/>
    <w:rsid w:val="00BB11E3"/>
    <w:rsid w:val="00BE1E01"/>
    <w:rsid w:val="00BF0161"/>
    <w:rsid w:val="00BF14AC"/>
    <w:rsid w:val="00BF73A5"/>
    <w:rsid w:val="00C13331"/>
    <w:rsid w:val="00C320F1"/>
    <w:rsid w:val="00C330F7"/>
    <w:rsid w:val="00C3545B"/>
    <w:rsid w:val="00C439EA"/>
    <w:rsid w:val="00C4591D"/>
    <w:rsid w:val="00C63E99"/>
    <w:rsid w:val="00C74F03"/>
    <w:rsid w:val="00CB4696"/>
    <w:rsid w:val="00CD1AEB"/>
    <w:rsid w:val="00CE4EF0"/>
    <w:rsid w:val="00D116E4"/>
    <w:rsid w:val="00D438E9"/>
    <w:rsid w:val="00D4693D"/>
    <w:rsid w:val="00D50256"/>
    <w:rsid w:val="00D62F23"/>
    <w:rsid w:val="00D7385E"/>
    <w:rsid w:val="00D84BB2"/>
    <w:rsid w:val="00DA4684"/>
    <w:rsid w:val="00DB7F34"/>
    <w:rsid w:val="00DC19E8"/>
    <w:rsid w:val="00DC38F3"/>
    <w:rsid w:val="00DC4E08"/>
    <w:rsid w:val="00E02C11"/>
    <w:rsid w:val="00E030B5"/>
    <w:rsid w:val="00E20F2B"/>
    <w:rsid w:val="00E21238"/>
    <w:rsid w:val="00E347D3"/>
    <w:rsid w:val="00E35D4B"/>
    <w:rsid w:val="00E45198"/>
    <w:rsid w:val="00E9016E"/>
    <w:rsid w:val="00E964F5"/>
    <w:rsid w:val="00EA4B42"/>
    <w:rsid w:val="00EB4505"/>
    <w:rsid w:val="00EB726E"/>
    <w:rsid w:val="00EC3099"/>
    <w:rsid w:val="00F226EE"/>
    <w:rsid w:val="00F27485"/>
    <w:rsid w:val="00F743B6"/>
    <w:rsid w:val="00F77D0D"/>
    <w:rsid w:val="00F95847"/>
    <w:rsid w:val="00FA0EA2"/>
    <w:rsid w:val="00FA2AD3"/>
    <w:rsid w:val="00FD4F68"/>
    <w:rsid w:val="00FE415D"/>
    <w:rsid w:val="00FE5B2C"/>
    <w:rsid w:val="00FF4558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84CA"/>
  <w15:docId w15:val="{27187780-D348-4C70-8450-BCD792C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83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19"/>
  </w:style>
  <w:style w:type="paragraph" w:styleId="Footer">
    <w:name w:val="footer"/>
    <w:basedOn w:val="Normal"/>
    <w:link w:val="FooterChar"/>
    <w:uiPriority w:val="99"/>
    <w:unhideWhenUsed/>
    <w:rsid w:val="006C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19"/>
  </w:style>
  <w:style w:type="paragraph" w:styleId="BalloonText">
    <w:name w:val="Balloon Text"/>
    <w:basedOn w:val="Normal"/>
    <w:link w:val="BalloonTextChar"/>
    <w:uiPriority w:val="99"/>
    <w:semiHidden/>
    <w:unhideWhenUsed/>
    <w:rsid w:val="006C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019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00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0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8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25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Yasir AbdElrahman Elyass HQ</cp:lastModifiedBy>
  <cp:revision>65</cp:revision>
  <cp:lastPrinted>2025-12-17T14:03:00Z</cp:lastPrinted>
  <dcterms:created xsi:type="dcterms:W3CDTF">2025-12-17T13:36:00Z</dcterms:created>
  <dcterms:modified xsi:type="dcterms:W3CDTF">2025-12-17T14:13:00Z</dcterms:modified>
</cp:coreProperties>
</file>